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98" w:rsidRPr="009622C8" w:rsidRDefault="00E94398" w:rsidP="009622C8">
      <w:pPr>
        <w:spacing w:after="0" w:line="276" w:lineRule="auto"/>
        <w:jc w:val="both"/>
        <w:rPr>
          <w:lang w:val="sq-AL"/>
        </w:rPr>
      </w:pPr>
      <w:bookmarkStart w:id="0" w:name="_GoBack"/>
      <w:bookmarkEnd w:id="0"/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ne ASHNA, Rregulloren për Përcaktimin e Kritereve Minimale për vendet e punës ne ASHNA dhe Rregulloren për Përcaktimin e sistemit te gradave për vendet e punës ne ASHNA, Agjencia e Shërbimeve te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D04EE6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 I JASHTËM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>Departamenti i Financave</w:t>
      </w:r>
    </w:p>
    <w:p w:rsidR="009622C8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877C7A" w:rsidRPr="00877C7A">
        <w:rPr>
          <w:b/>
          <w:sz w:val="24"/>
          <w:lang w:val="sq-AL"/>
        </w:rPr>
        <w:t>Zyrtar për Zotimin e Mjeteve Buxhetore</w:t>
      </w:r>
    </w:p>
    <w:p w:rsidR="009622C8" w:rsidRDefault="00877C7A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ASHNA/REK/020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686441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62589E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</w:t>
      </w:r>
      <w:r w:rsidR="00877C7A">
        <w:rPr>
          <w:b/>
          <w:sz w:val="24"/>
          <w:lang w:val="sq-AL"/>
        </w:rPr>
        <w:t>a:</w:t>
      </w:r>
      <w:r w:rsidR="00877C7A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ab/>
      </w:r>
      <w:r w:rsidR="00877C7A">
        <w:rPr>
          <w:b/>
          <w:sz w:val="24"/>
          <w:lang w:val="sq-AL"/>
        </w:rPr>
        <w:tab/>
        <w:t>ASHNA-3</w:t>
      </w:r>
    </w:p>
    <w:p w:rsidR="000062D0" w:rsidRPr="009622C8" w:rsidRDefault="009622C8" w:rsidP="00D04EE6">
      <w:pPr>
        <w:spacing w:after="0" w:line="276" w:lineRule="auto"/>
        <w:ind w:left="2880" w:hanging="2880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D96F5F">
        <w:rPr>
          <w:b/>
          <w:sz w:val="24"/>
          <w:lang w:val="sq-AL"/>
        </w:rPr>
        <w:t xml:space="preserve">Udhëheqësit të Divizionit </w:t>
      </w:r>
      <w:r w:rsidR="00877C7A">
        <w:rPr>
          <w:b/>
          <w:sz w:val="24"/>
          <w:lang w:val="sq-AL"/>
        </w:rPr>
        <w:t>për Buxhet dhe Financa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Qëllimi i vendit të punës</w:t>
      </w:r>
    </w:p>
    <w:p w:rsidR="00877C7A" w:rsidRPr="00877C7A" w:rsidRDefault="00877C7A" w:rsidP="00877C7A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Sigurimi i zotimeve buxhetore për shpenzimin e buxhetit të planifikuar dhe alokuar, sipas procedurave</w:t>
      </w:r>
      <w:r>
        <w:rPr>
          <w:lang w:val="sq-AL"/>
        </w:rPr>
        <w:t xml:space="preserve"> </w:t>
      </w:r>
      <w:r w:rsidRPr="00877C7A">
        <w:rPr>
          <w:lang w:val="sq-AL"/>
        </w:rPr>
        <w:t>financiare dhe buxhetore.</w:t>
      </w:r>
    </w:p>
    <w:p w:rsidR="00877C7A" w:rsidRP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Detyrat Kryesore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Harton planet e punës në pajtim me mbikëqyrësin për zbatimin e detyrave të përcaktuara në bazë të</w:t>
      </w:r>
      <w:r>
        <w:rPr>
          <w:lang w:val="sq-AL"/>
        </w:rPr>
        <w:t xml:space="preserve"> </w:t>
      </w:r>
      <w:r w:rsidRPr="00877C7A">
        <w:rPr>
          <w:lang w:val="sq-AL"/>
        </w:rPr>
        <w:t>objektivave dhe jep rekomandime lidhur me realizimin e këtyre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Analizon dhe vlerëson planin rrjedhës të parasë dhe siguron se shpenzimet janë bërë në pajtim me</w:t>
      </w:r>
      <w:r>
        <w:rPr>
          <w:lang w:val="sq-AL"/>
        </w:rPr>
        <w:t xml:space="preserve"> </w:t>
      </w:r>
      <w:r w:rsidRPr="00877C7A">
        <w:rPr>
          <w:lang w:val="sq-AL"/>
        </w:rPr>
        <w:t>procedurat dhe standardet për buxhet dhe financa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Siguron që mjetet buxhetore janë në dispozicion për shpenzim dhe janë bërë zotimet përkatëse në sistemet</w:t>
      </w:r>
      <w:r>
        <w:rPr>
          <w:lang w:val="sq-AL"/>
        </w:rPr>
        <w:t xml:space="preserve"> </w:t>
      </w:r>
      <w:r w:rsidRPr="00877C7A">
        <w:rPr>
          <w:lang w:val="sq-AL"/>
        </w:rPr>
        <w:t>përkatës të institucioneve financiare dhe buxhetore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Rishikon çdo urdhër zotimi dhe pagese si dhe dokumentet përkatëse për inicimin e procedurave për</w:t>
      </w:r>
      <w:r>
        <w:rPr>
          <w:lang w:val="sq-AL"/>
        </w:rPr>
        <w:t xml:space="preserve"> </w:t>
      </w:r>
      <w:r w:rsidRPr="00877C7A">
        <w:rPr>
          <w:lang w:val="sq-AL"/>
        </w:rPr>
        <w:t>prokurim dhe i përcjell për veprim të mëtutjeshme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Regjistron të gjitha zotimet e shpenzimeve në sistemin e menaxhimit të financave dhe kontrollit sipas</w:t>
      </w:r>
      <w:r>
        <w:rPr>
          <w:lang w:val="sq-AL"/>
        </w:rPr>
        <w:t xml:space="preserve"> </w:t>
      </w:r>
      <w:r w:rsidRPr="00877C7A">
        <w:rPr>
          <w:lang w:val="sq-AL"/>
        </w:rPr>
        <w:t>llojeve të shpenzimeve dhe i përcjell deri në realizimin e shpenzimeve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Barazon raportet e shpenzimeve me sistemin e thesarit në bazë tre mujore gjashtë mujor dhe vjetore dhe bashkëpunon me strukturat tjera organizative të ministrisë lidhur me zotimet dhe shpenzimet</w:t>
      </w:r>
    </w:p>
    <w:p w:rsid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lastRenderedPageBreak/>
        <w:t>Mbikëqyr dhe zbaton kontrollin efektiv të menaxhimit të parave të gatshme dhe mirëmban</w:t>
      </w:r>
      <w:r>
        <w:rPr>
          <w:lang w:val="sq-AL"/>
        </w:rPr>
        <w:t xml:space="preserve"> </w:t>
      </w:r>
      <w:r w:rsidRPr="00877C7A">
        <w:rPr>
          <w:lang w:val="sq-AL"/>
        </w:rPr>
        <w:t>dokumentacionin financiar dhe dosjet për te gjitha pagesat</w:t>
      </w:r>
    </w:p>
    <w:p w:rsidR="00877C7A" w:rsidRPr="00877C7A" w:rsidRDefault="00877C7A" w:rsidP="00877C7A">
      <w:pPr>
        <w:pStyle w:val="ListParagraph"/>
        <w:numPr>
          <w:ilvl w:val="0"/>
          <w:numId w:val="19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Kryen edhe detyra tjetër në përputhje me ligjet dhe rregulloret të cilat mund të kërkohen në mënyrë të arsyeshme kohë pas kohe nga mbikëqyrësi</w:t>
      </w:r>
    </w:p>
    <w:p w:rsidR="00877C7A" w:rsidRDefault="00877C7A" w:rsidP="00877C7A">
      <w:pPr>
        <w:spacing w:after="0" w:line="276" w:lineRule="auto"/>
        <w:jc w:val="both"/>
        <w:rPr>
          <w:lang w:val="sq-AL"/>
        </w:rPr>
      </w:pPr>
    </w:p>
    <w:p w:rsidR="00877C7A" w:rsidRPr="00877C7A" w:rsidRDefault="00877C7A" w:rsidP="00877C7A">
      <w:pPr>
        <w:spacing w:after="0" w:line="276" w:lineRule="auto"/>
        <w:jc w:val="both"/>
        <w:rPr>
          <w:b/>
          <w:lang w:val="sq-AL"/>
        </w:rPr>
      </w:pPr>
      <w:r w:rsidRPr="00877C7A">
        <w:rPr>
          <w:b/>
          <w:lang w:val="sq-AL"/>
        </w:rPr>
        <w:t>Shkathtësitë e kërkuara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Diplome universitare, drejtimi ekonomik, financa, biznes apo të ngjashme, 2 vite përvojë profesionale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Njohuri dhe përvojë në fushën e në fushën e buxhetit dhe financave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Shkathtësi në komunikim planifikim të punës dhe udhëheqje të ekipit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Shkathtësi hulumtuese, analitike, vlerësuese dhe formulim të rekomandimeve dhe këshillave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Aftësi për përmbushje të detyrave dhe punëve nën presion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Shkathtësi kompjuterike të aplikacioneve të programeve (Word, Excel, Power Point, Internetit)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2 vite pervoje profesionale</w:t>
      </w:r>
    </w:p>
    <w:p w:rsidR="00877C7A" w:rsidRPr="00877C7A" w:rsidRDefault="00877C7A" w:rsidP="00877C7A">
      <w:pPr>
        <w:pStyle w:val="ListParagraph"/>
        <w:numPr>
          <w:ilvl w:val="0"/>
          <w:numId w:val="22"/>
        </w:numPr>
        <w:spacing w:after="0"/>
        <w:jc w:val="both"/>
        <w:rPr>
          <w:lang w:val="sq-AL"/>
        </w:rPr>
      </w:pPr>
      <w:r w:rsidRPr="00877C7A">
        <w:rPr>
          <w:lang w:val="sq-AL"/>
        </w:rPr>
        <w:t>Diplome universitare, drejtimi ekonomik, financa, biznes apo të ngjashme</w:t>
      </w:r>
    </w:p>
    <w:p w:rsidR="00877C7A" w:rsidRPr="009622C8" w:rsidRDefault="00877C7A" w:rsidP="00877C7A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62589E" w:rsidRPr="0062589E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306041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9622C8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15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877C7A">
        <w:rPr>
          <w:rFonts w:asciiTheme="minorHAnsi" w:hAnsiTheme="minorHAnsi" w:cstheme="minorHAnsi"/>
          <w:bCs/>
          <w:sz w:val="22"/>
          <w:szCs w:val="22"/>
          <w:lang w:val="sq-AL"/>
        </w:rPr>
        <w:t>, përkatësisht nga 13/08/2018 deri 27</w:t>
      </w:r>
      <w:r w:rsidR="00665AD9">
        <w:rPr>
          <w:rFonts w:asciiTheme="minorHAnsi" w:hAnsiTheme="minorHAnsi" w:cstheme="minorHAnsi"/>
          <w:bCs/>
          <w:sz w:val="22"/>
          <w:szCs w:val="22"/>
          <w:lang w:val="sq-AL"/>
        </w:rPr>
        <w:t>/08</w:t>
      </w:r>
      <w:r w:rsidR="00600790">
        <w:rPr>
          <w:rFonts w:asciiTheme="minorHAnsi" w:hAnsiTheme="minorHAnsi" w:cstheme="minorHAnsi"/>
          <w:bCs/>
          <w:sz w:val="22"/>
          <w:szCs w:val="22"/>
          <w:lang w:val="sq-AL"/>
        </w:rPr>
        <w:t>/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2018 në ora 16:00.</w:t>
      </w:r>
    </w:p>
    <w:p w:rsidR="000062D0" w:rsidRPr="009622C8" w:rsidRDefault="00643553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1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E0B" w:rsidRDefault="00496E0B" w:rsidP="000062D0">
      <w:pPr>
        <w:spacing w:after="0" w:line="240" w:lineRule="auto"/>
      </w:pPr>
      <w:r>
        <w:separator/>
      </w:r>
    </w:p>
  </w:endnote>
  <w:endnote w:type="continuationSeparator" w:id="0">
    <w:p w:rsidR="00496E0B" w:rsidRDefault="00496E0B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FC5634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FC5634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E0B" w:rsidRDefault="00496E0B" w:rsidP="000062D0">
      <w:pPr>
        <w:spacing w:after="0" w:line="240" w:lineRule="auto"/>
      </w:pPr>
      <w:r>
        <w:separator/>
      </w:r>
    </w:p>
  </w:footnote>
  <w:footnote w:type="continuationSeparator" w:id="0">
    <w:p w:rsidR="00496E0B" w:rsidRDefault="00496E0B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9"/>
  </w:num>
  <w:num w:numId="6">
    <w:abstractNumId w:val="1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0"/>
  </w:num>
  <w:num w:numId="12">
    <w:abstractNumId w:val="19"/>
  </w:num>
  <w:num w:numId="13">
    <w:abstractNumId w:val="12"/>
  </w:num>
  <w:num w:numId="14">
    <w:abstractNumId w:val="20"/>
  </w:num>
  <w:num w:numId="15">
    <w:abstractNumId w:val="15"/>
  </w:num>
  <w:num w:numId="16">
    <w:abstractNumId w:val="5"/>
  </w:num>
  <w:num w:numId="17">
    <w:abstractNumId w:val="18"/>
  </w:num>
  <w:num w:numId="18">
    <w:abstractNumId w:val="10"/>
  </w:num>
  <w:num w:numId="19">
    <w:abstractNumId w:val="13"/>
  </w:num>
  <w:num w:numId="20">
    <w:abstractNumId w:val="7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2028D1"/>
    <w:rsid w:val="00226185"/>
    <w:rsid w:val="0023549E"/>
    <w:rsid w:val="00257815"/>
    <w:rsid w:val="002768CC"/>
    <w:rsid w:val="00281C77"/>
    <w:rsid w:val="00306041"/>
    <w:rsid w:val="00356997"/>
    <w:rsid w:val="00357BEE"/>
    <w:rsid w:val="0039470E"/>
    <w:rsid w:val="003A0A63"/>
    <w:rsid w:val="003D4508"/>
    <w:rsid w:val="003E4778"/>
    <w:rsid w:val="00447F19"/>
    <w:rsid w:val="00496E0B"/>
    <w:rsid w:val="004C47B3"/>
    <w:rsid w:val="004F1C36"/>
    <w:rsid w:val="0050690A"/>
    <w:rsid w:val="00527881"/>
    <w:rsid w:val="005561B7"/>
    <w:rsid w:val="005735E3"/>
    <w:rsid w:val="00584665"/>
    <w:rsid w:val="005B2A33"/>
    <w:rsid w:val="005B488D"/>
    <w:rsid w:val="005C6E95"/>
    <w:rsid w:val="00600790"/>
    <w:rsid w:val="00617BF6"/>
    <w:rsid w:val="0062589E"/>
    <w:rsid w:val="00625CBB"/>
    <w:rsid w:val="0063775C"/>
    <w:rsid w:val="00643553"/>
    <w:rsid w:val="00665AD9"/>
    <w:rsid w:val="00686441"/>
    <w:rsid w:val="00741CE3"/>
    <w:rsid w:val="00742ECF"/>
    <w:rsid w:val="00744AF6"/>
    <w:rsid w:val="007D4C51"/>
    <w:rsid w:val="008062C8"/>
    <w:rsid w:val="00816B02"/>
    <w:rsid w:val="00877C7A"/>
    <w:rsid w:val="00886FAF"/>
    <w:rsid w:val="008F67EA"/>
    <w:rsid w:val="00952411"/>
    <w:rsid w:val="009622C8"/>
    <w:rsid w:val="00973C87"/>
    <w:rsid w:val="009A33DA"/>
    <w:rsid w:val="00A118FE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C162E0"/>
    <w:rsid w:val="00CD685C"/>
    <w:rsid w:val="00D04EE6"/>
    <w:rsid w:val="00D33876"/>
    <w:rsid w:val="00D34F97"/>
    <w:rsid w:val="00D87741"/>
    <w:rsid w:val="00D96F5F"/>
    <w:rsid w:val="00E05C70"/>
    <w:rsid w:val="00E60217"/>
    <w:rsid w:val="00E94398"/>
    <w:rsid w:val="00EF7C7F"/>
    <w:rsid w:val="00FB251D"/>
    <w:rsid w:val="00FC5634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2018-08-13T09:02:00Z</dcterms:created>
  <dcterms:modified xsi:type="dcterms:W3CDTF">2018-08-13T09:02:00Z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